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60"/>
        <w:jc w:val="center"/>
      </w:pPr>
      <w:r>
        <w:drawing>
          <wp:inline xmlns:a="http://schemas.openxmlformats.org/drawingml/2006/main" xmlns:pic="http://schemas.openxmlformats.org/drawingml/2006/picture">
            <wp:extent cx="2834640" cy="2834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asters_2026_By_Olivier_sem_fund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834640" cy="2834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160"/>
        <w:jc w:val="center"/>
      </w:pPr>
      <w:r>
        <w:rPr>
          <w:rFonts w:ascii="Aptos Display" w:hAnsi="Aptos Display"/>
          <w:b/>
          <w:color w:val="5D17A8"/>
          <w:sz w:val="48"/>
        </w:rPr>
        <w:t>REGULAMENTO PARTICULAR</w:t>
      </w:r>
    </w:p>
    <w:p>
      <w:pPr>
        <w:jc w:val="center"/>
      </w:pPr>
      <w:r>
        <w:rPr>
          <w:rFonts w:ascii="Aptos Display" w:hAnsi="Aptos Display"/>
          <w:b/>
          <w:color w:val="17141F"/>
          <w:sz w:val="30"/>
        </w:rPr>
        <w:t>TORNEIO DE PADEL — MASTERS 2026 BY OLIVIER</w:t>
      </w:r>
    </w:p>
    <w:p>
      <w:pPr>
        <w:jc w:val="center"/>
      </w:pPr>
      <w:r>
        <w:rPr>
          <w:rFonts w:ascii="Aptos" w:hAnsi="Aptos"/>
          <w:i/>
          <w:color w:val="666666"/>
          <w:sz w:val="20"/>
        </w:rPr>
        <w:t>Versão 1.0 — Minuta para validação final da organização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2232"/>
            <w:shd w:fill="5D17A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Data</w:t>
            </w:r>
          </w:p>
        </w:tc>
        <w:tc>
          <w:tcPr>
            <w:tcW w:type="dxa" w:w="7128"/>
            <w:shd w:fill="F8F7FA"/>
          </w:tcPr>
          <w:p>
            <w:r>
              <w:rPr>
                <w:rFonts w:ascii="Aptos" w:hAnsi="Aptos"/>
                <w:color w:val="17141F"/>
                <w:sz w:val="18"/>
              </w:rPr>
              <w:t>[A indicar]</w:t>
            </w:r>
          </w:p>
        </w:tc>
      </w:tr>
      <w:tr>
        <w:tc>
          <w:tcPr>
            <w:tcW w:type="dxa" w:w="2232"/>
            <w:shd w:fill="5D17A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Local</w:t>
            </w:r>
          </w:p>
        </w:tc>
        <w:tc>
          <w:tcPr>
            <w:tcW w:type="dxa" w:w="7128"/>
            <w:shd w:fill="F8F7FA"/>
          </w:tcPr>
          <w:p>
            <w:r>
              <w:rPr>
                <w:rFonts w:ascii="Aptos" w:hAnsi="Aptos"/>
                <w:color w:val="17141F"/>
                <w:sz w:val="18"/>
              </w:rPr>
              <w:t>[A indicar]</w:t>
            </w:r>
          </w:p>
        </w:tc>
      </w:tr>
      <w:tr>
        <w:tc>
          <w:tcPr>
            <w:tcW w:type="dxa" w:w="2232"/>
            <w:shd w:fill="5D17A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Organização</w:t>
            </w:r>
          </w:p>
        </w:tc>
        <w:tc>
          <w:tcPr>
            <w:tcW w:type="dxa" w:w="7128"/>
            <w:shd w:fill="F8F7FA"/>
          </w:tcPr>
          <w:p>
            <w:r>
              <w:rPr>
                <w:rFonts w:ascii="Aptos" w:hAnsi="Aptos"/>
                <w:color w:val="17141F"/>
                <w:sz w:val="18"/>
              </w:rPr>
              <w:t>Masters 2026 by Olivier</w:t>
            </w:r>
          </w:p>
        </w:tc>
      </w:tr>
      <w:tr>
        <w:tc>
          <w:tcPr>
            <w:tcW w:type="dxa" w:w="2232"/>
            <w:shd w:fill="5D17A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Participação</w:t>
            </w:r>
          </w:p>
        </w:tc>
        <w:tc>
          <w:tcPr>
            <w:tcW w:type="dxa" w:w="7128"/>
            <w:shd w:fill="F8F7FA"/>
          </w:tcPr>
          <w:p>
            <w:r>
              <w:rPr>
                <w:rFonts w:ascii="Aptos" w:hAnsi="Aptos"/>
                <w:color w:val="17141F"/>
                <w:sz w:val="18"/>
              </w:rPr>
              <w:t>24 pares/equipas</w:t>
            </w:r>
          </w:p>
        </w:tc>
      </w:tr>
      <w:tr>
        <w:tc>
          <w:tcPr>
            <w:tcW w:type="dxa" w:w="2232"/>
            <w:shd w:fill="5D17A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Campos</w:t>
            </w:r>
          </w:p>
        </w:tc>
        <w:tc>
          <w:tcPr>
            <w:tcW w:type="dxa" w:w="7128"/>
            <w:shd w:fill="F8F7FA"/>
          </w:tcPr>
          <w:p>
            <w:r>
              <w:rPr>
                <w:rFonts w:ascii="Aptos" w:hAnsi="Aptos"/>
                <w:color w:val="17141F"/>
                <w:sz w:val="18"/>
              </w:rPr>
              <w:t>6 campos</w:t>
            </w:r>
          </w:p>
        </w:tc>
      </w:tr>
      <w:tr>
        <w:tc>
          <w:tcPr>
            <w:tcW w:type="dxa" w:w="2232"/>
            <w:shd w:fill="5D17A8"/>
          </w:tcPr>
          <w:p>
            <w:r>
              <w:rPr>
                <w:rFonts w:ascii="Aptos" w:hAnsi="Aptos"/>
                <w:b/>
                <w:color w:val="FFFFFF"/>
                <w:sz w:val="18"/>
              </w:rPr>
              <w:t>Formato-base</w:t>
            </w:r>
          </w:p>
        </w:tc>
        <w:tc>
          <w:tcPr>
            <w:tcW w:type="dxa" w:w="7128"/>
            <w:shd w:fill="F8F7FA"/>
          </w:tcPr>
          <w:p>
            <w:r>
              <w:rPr>
                <w:rFonts w:ascii="Aptos" w:hAnsi="Aptos"/>
                <w:color w:val="17141F"/>
                <w:sz w:val="18"/>
              </w:rPr>
              <w:t>4 grupos de 6 + Quadros A, B, C e D + fase Masters</w:t>
            </w:r>
          </w:p>
        </w:tc>
      </w:tr>
    </w:tbl>
    <w:p>
      <w:pPr>
        <w:spacing w:before="240"/>
        <w:jc w:val="center"/>
      </w:pPr>
      <w:r>
        <w:rPr>
          <w:rFonts w:ascii="Aptos" w:hAnsi="Aptos"/>
          <w:b/>
          <w:color w:val="C00000"/>
          <w:sz w:val="17"/>
        </w:rPr>
        <w:t>Documento de natureza particular/social. Não constitui, por si só, homologação FPP ou FIP.</w:t>
      </w:r>
    </w:p>
    <w:p>
      <w:pPr>
        <w:spacing w:before="360"/>
        <w:jc w:val="center"/>
      </w:pPr>
      <w:r>
        <w:rPr>
          <w:rFonts w:ascii="Aptos" w:hAnsi="Aptos"/>
          <w:i/>
          <w:color w:val="666666"/>
          <w:sz w:val="16"/>
        </w:rPr>
        <w:t>Base normativa: Regras de Padel da Federação Internacional de Padel, revisão aplicável desde 1 de janeiro de 2026, e referências organizativas públicas da Federação Portuguesa de Padel.</w:t>
      </w:r>
    </w:p>
    <w:p>
      <w:r>
        <w:br w:type="page"/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2FB"/>
            <w:tcBorders>
              <w:top w:val="single" w:sz="10" w:color="5D17A8"/>
              <w:left w:val="single" w:sz="10" w:color="5D17A8"/>
              <w:bottom w:val="single" w:sz="10" w:color="5D17A8"/>
              <w:right w:val="single" w:sz="10" w:color="5D17A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5D17A8"/>
                <w:sz w:val="19"/>
              </w:rPr>
              <w:t>NOTA DE UTILIZAÇÃO</w:t>
              <w:br/>
            </w:r>
            <w:r>
              <w:rPr>
                <w:rFonts w:ascii="Aptos" w:hAnsi="Aptos"/>
                <w:color w:val="17141F"/>
                <w:sz w:val="18"/>
              </w:rPr>
              <w:t>Este regulamento foi preparado para o formato discutido: 24 pares, 4 grupos de 6, 6 campos, encontros cronometrados de 20 minutos, 3 minutos de aquecimento e 3 minutos de transição. Os campos assinalados como “[A indicar]” devem ser preenchidos antes da publicação. Caso a prova seja federada ou integrada num calendário oficial, prevalecem os regulamentos e determinações da FPP/FIP aplicáveis.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rPr>
          <w:rFonts w:ascii="Aptos" w:hAnsi="Aptos"/>
          <w:b/>
          <w:color w:val="1B65D8"/>
          <w:sz w:val="21"/>
        </w:rPr>
        <w:t>Índice resumido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I. Disposições gerais e participação — Artigos 1.º a 6.º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II. Formato competitivo — Artigos 7.º a 13.º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III. Regras dos encontros — Artigos 14.º a 24.º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IV. Arbitragem, resultados e disciplina — Artigos 25.º a 34.º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V. Disposições finais — Artigos 35.º a 38.º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Anexos — Estrutura dos quadros, grelha temporal e guia rápido de jogo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1.º — Objeto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presente regulamento estabelece as condições de participação, o modelo competitivo, o sistema de pontuação, as regras de jogo, os procedimentos de arbitragem e as normas de conduta do torneio “Masters 2026 by Olivier”.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torneio tem natureza particular/social, salvo anúncio expresso da organização em sentido diferente.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participação implica conhecimento e aceitação integral deste regulamento, dos horários oficiais e das decisões do responsável de prova.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2.º — Regulamentação aplicável e prevalência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As regras específicas deste documento prevalecem relativamente ao formato cronometrado, à estrutura dos grupos e quadros e aos critérios de classificação.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Em tudo o que não esteja expressamente regulado, aplicam-se subsidiariamente as Regras de Padel da Federação Internacional de Padel (FIP) em vigor na data da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Caso o torneio venha a ser homologado ou integrado numa competição oficial, prevalecem as normas imperativas da FPP/FIP e as instruções do juiz-árbitro nomeado.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3.º — Organização e autoridade da prova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 direção da prova é exercida pela organização do Masters 2026 by Olivier, que designará um Diretor do Torneio e um Responsável de Arbitragem/Juiz de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Compete ao responsável de prova interpretar o regulamento, distribuir campos, validar resultados, decidir protestos, aplicar sanções e resolver ocorrências não previstas.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As decisões tomadas durante a prova são imediatamente executórias, sem prejuízo de registo posterior da ocorrência.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4.º — Participantes e elegibilidade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 prova admite até 24 pares, correspondendo cada par a uma equipa de dois jogadores.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A categoria, género, nível técnico, idade mínima e eventuais critérios de convite serão os publicados no anúncio oficial da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Menores de idade apenas podem participar mediante autorização do respetivo representante legal e cumprimento das condições definidas pela organização.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A organização pode recusar ou cancelar uma inscrição quando existam dados incorretos, incompatibilidade com a categoria, falta de pagamento, sanção disciplinar ou risco para a segurança da prova.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5.º — Inscrição, identificação e check-in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 inscrição apenas se considera confirmada após aceitação pela organização e pagamento integral, quando aplicável.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Os jogadores devem fornecer os dados solicitados e apresentar documento de identificação quando requerido pelo responsável de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 check-in geral deve ser efetuado, preferencialmente, até 30 minutos antes do primeiro encontro do par.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Cada par é responsável por consultar o quadro, os horários, o campo atribuído e as atualizações divulgadas pela organização.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6.º — Constituição dos pares e substituições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par inscrito mantém-se inalterado durante toda 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A substituição de um jogador apenas pode ser autorizada antes do primeiro encontro do par, por motivo justificado e desde que o substituto cumpra os requisitos da categoria.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Depois de iniciado o primeiro encontro, não são permitidas substituições. A impossibilidade de continuar determina abandono ou falta de comparência, conforme o caso.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7.º — Estrutura geral da competição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torneio é composto por uma fase de grupos e por uma fase eliminatória.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Serão constituídos quatro grupos — Grupo 1, Grupo 2, Grupo 3 e Grupo 4 — com seis pares cada.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Na fase de grupos, todos os pares do mesmo grupo jogam entre si uma vez, perfazendo cinco encontros por par e quinze encontros por grupo.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A organização pode ajustar a composição dos grupos antes do início da prova para corrigir desistências, duplicações ou desequilíbrios manifestos.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8.º — Apuramento para os Quadros A, B, C e 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460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Posição no grupo</w:t>
            </w:r>
          </w:p>
        </w:tc>
        <w:tc>
          <w:tcPr>
            <w:tcW w:type="dxa" w:w="460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Destino</w:t>
            </w:r>
          </w:p>
        </w:tc>
      </w:tr>
      <w:tr>
        <w:tc>
          <w:tcPr>
            <w:tcW w:type="dxa" w:w="460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1.º classificado de cada grupo</w:t>
            </w:r>
          </w:p>
        </w:tc>
        <w:tc>
          <w:tcPr>
            <w:tcW w:type="dxa" w:w="460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A</w:t>
            </w:r>
          </w:p>
        </w:tc>
      </w:tr>
      <w:tr>
        <w:tc>
          <w:tcPr>
            <w:tcW w:type="dxa" w:w="460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2.º classificado de cada grupo</w:t>
            </w:r>
          </w:p>
        </w:tc>
        <w:tc>
          <w:tcPr>
            <w:tcW w:type="dxa" w:w="460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B</w:t>
            </w:r>
          </w:p>
        </w:tc>
      </w:tr>
      <w:tr>
        <w:tc>
          <w:tcPr>
            <w:tcW w:type="dxa" w:w="460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3.º classificado de cada grupo</w:t>
            </w:r>
          </w:p>
        </w:tc>
        <w:tc>
          <w:tcPr>
            <w:tcW w:type="dxa" w:w="460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C</w:t>
            </w:r>
          </w:p>
        </w:tc>
      </w:tr>
      <w:tr>
        <w:tc>
          <w:tcPr>
            <w:tcW w:type="dxa" w:w="460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4.º classificado de cada grupo</w:t>
            </w:r>
          </w:p>
        </w:tc>
        <w:tc>
          <w:tcPr>
            <w:tcW w:type="dxa" w:w="460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D</w:t>
            </w:r>
          </w:p>
        </w:tc>
      </w:tr>
      <w:tr>
        <w:tc>
          <w:tcPr>
            <w:tcW w:type="dxa" w:w="460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5.º e 6.º classificados</w:t>
            </w:r>
          </w:p>
        </w:tc>
        <w:tc>
          <w:tcPr>
            <w:tcW w:type="dxa" w:w="460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Eliminados após a fase de grupos</w:t>
            </w:r>
          </w:p>
        </w:tc>
      </w:tr>
    </w:tbl>
    <w:p>
      <w:pPr>
        <w:spacing w:after="20"/>
      </w:pP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Cada quadro é composto por quatro pares, um proveniente de cada grupo.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9.º — Emparelhamentos dos quadros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Em cada Quadro A, B, C e D, as meias-finais serão organizadas da seguinte forma: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Meia-final 1: representante do Grupo 1 contra representante do Grupo 2.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Meia-final 2: representante do Grupo 3 contra representante do Grupo 4.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Os vencedores das duas meias-finais disputam a final do respetivo quadro.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 vencedor de cada quadro avança para a fase Masters.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10.º — Fase Masters e campeão do torneio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 fase Masters é disputada pelos vencedores dos Quadros A, B, C e D.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Meia-final Masters 1: vencedor do Quadro A contra vencedor do Quadro B.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Meia-final Masters 2: vencedor do Quadro C contra vencedor do Quadro D.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Final Masters: vencedores das duas meias-finais Masters.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vencedor da Final Masters é declarado campeão do Masters 2026 by Olivier.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11.º — Pontuação da fase de grupos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604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Resultado</w:t>
            </w:r>
          </w:p>
        </w:tc>
        <w:tc>
          <w:tcPr>
            <w:tcW w:type="dxa" w:w="316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Pontos de classificação</w:t>
            </w:r>
          </w:p>
        </w:tc>
      </w:tr>
      <w:tr>
        <w:tc>
          <w:tcPr>
            <w:tcW w:type="dxa" w:w="604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Vitória</w:t>
            </w:r>
          </w:p>
        </w:tc>
        <w:tc>
          <w:tcPr>
            <w:tcW w:type="dxa" w:w="316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 pontos</w:t>
            </w:r>
          </w:p>
        </w:tc>
      </w:tr>
      <w:tr>
        <w:tc>
          <w:tcPr>
            <w:tcW w:type="dxa" w:w="604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Derrota com encontro realizado</w:t>
            </w:r>
          </w:p>
        </w:tc>
        <w:tc>
          <w:tcPr>
            <w:tcW w:type="dxa" w:w="316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 ponto</w:t>
            </w:r>
          </w:p>
        </w:tc>
      </w:tr>
      <w:tr>
        <w:tc>
          <w:tcPr>
            <w:tcW w:type="dxa" w:w="604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Falta de comparência / desclassificação</w:t>
            </w:r>
          </w:p>
        </w:tc>
        <w:tc>
          <w:tcPr>
            <w:tcW w:type="dxa" w:w="316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0 pontos</w:t>
            </w:r>
          </w:p>
        </w:tc>
      </w:tr>
    </w:tbl>
    <w:p>
      <w:pPr>
        <w:spacing w:after="20"/>
      </w:pP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Não existem empates nos encontros. Quando necessário, o vencedor será apurado por ponto decisivo nos termos do Artigo 17.º.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12.º — Critérios de desempate nos grupos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A classificação de cada grupo é ordenada por pontos. Em caso de empate, aplicam-se sucessivamente os seguintes critérios: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Resultado do confronto direto, quando estejam empatados apenas dois pares;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Mini-classificação considerando apenas os encontros entre os pares empatados, quando sejam três ou mais;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Melhor diferença entre jogos ganhos e jogos perdidos nos confrontos entre os pares empatados;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Maior número de jogos ganhos nos confrontos entre os pares empatados;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Melhor diferença global entre jogos ganhos e jogos perdidos em toda a fase de grupos;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Maior número global de jogos ganhos;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Menor número de sanções disciplinares registadas;</w:t>
      </w:r>
    </w:p>
    <w:p>
      <w:pPr>
        <w:pStyle w:val="ListNumber"/>
        <w:spacing w:after="60" w:line="252" w:lineRule="auto"/>
      </w:pPr>
      <w:r>
        <w:rPr>
          <w:rFonts w:ascii="Aptos" w:hAnsi="Aptos"/>
          <w:color w:val="17141F"/>
          <w:sz w:val="18"/>
        </w:rPr>
        <w:t>Sorteio efetuado pelo responsável de prova, na presença de representantes dos pares envolvidos sempre que possível.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13.º — Desistências e resultados anulados na fase de grupos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Se um par desistir antes de realizar o primeiro encontro, a organização pode substituí-lo por um par suplente ou reorganizar o grupo.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Se um par abandonar a competição depois de iniciar a fase de grupos, os encontros já concluídos mantêm-se, salvo decisão diferente do responsável de prova necessária para preservar a igualdade competitiva.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Os encontros não disputados por falta de comparência são registados como derrota administrativa por 0–3 jogos, sem prejuízo de sanção adicional.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Se ambos os pares faltarem, é registada dupla falta de comparência, sem atribuição de pontos.</w:t>
      </w:r>
    </w:p>
    <w:p>
      <w:r>
        <w:br w:type="page"/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14.º — Bloco temporal de cada encontro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604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Componente</w:t>
            </w:r>
          </w:p>
        </w:tc>
        <w:tc>
          <w:tcPr>
            <w:tcW w:type="dxa" w:w="316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Duração</w:t>
            </w:r>
          </w:p>
        </w:tc>
      </w:tr>
      <w:tr>
        <w:tc>
          <w:tcPr>
            <w:tcW w:type="dxa" w:w="604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Aquecimento no campo</w:t>
            </w:r>
          </w:p>
        </w:tc>
        <w:tc>
          <w:tcPr>
            <w:tcW w:type="dxa" w:w="316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 minutos</w:t>
            </w:r>
          </w:p>
        </w:tc>
      </w:tr>
      <w:tr>
        <w:tc>
          <w:tcPr>
            <w:tcW w:type="dxa" w:w="604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Encontro cronometrado</w:t>
            </w:r>
          </w:p>
        </w:tc>
        <w:tc>
          <w:tcPr>
            <w:tcW w:type="dxa" w:w="316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20 minutos</w:t>
            </w:r>
          </w:p>
        </w:tc>
      </w:tr>
      <w:tr>
        <w:tc>
          <w:tcPr>
            <w:tcW w:type="dxa" w:w="604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Saída, registo e transição</w:t>
            </w:r>
          </w:p>
        </w:tc>
        <w:tc>
          <w:tcPr>
            <w:tcW w:type="dxa" w:w="316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 minutos</w:t>
            </w:r>
          </w:p>
        </w:tc>
      </w:tr>
      <w:tr>
        <w:tc>
          <w:tcPr>
            <w:tcW w:type="dxa" w:w="604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Duração operacional do bloco</w:t>
            </w:r>
          </w:p>
        </w:tc>
        <w:tc>
          <w:tcPr>
            <w:tcW w:type="dxa" w:w="316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26 minutos</w:t>
            </w:r>
          </w:p>
        </w:tc>
      </w:tr>
    </w:tbl>
    <w:p>
      <w:pPr>
        <w:spacing w:after="20"/>
      </w:pP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aquecimento não integra os 20 minutos de jogo.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cronómetro oficial é controlado pela organização. O sinal sonoro ou anúncio do responsável de prova determina o início e o fim do tempo regulamentar.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Os pares devem entrar imediatamente no campo quando chamados. O atraso reduz o tempo útil do encontro e pode originar falta de comparência.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15.º — Sistema de pontuação dentro do encontro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encontro é disputado por acumulação de jogos durante 20 minutos, sem divisão em sets.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Dentro de cada jogo, a contagem é 15, 30, 40 e jogo.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Aos 40–40 aplica-se ponto de ouro: joga-se um único ponto decisivo. O par recebedor escolhe o lado de receção. Em categoria mista, quando aplicável, recebe o jogador do mesmo género do servidor.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O par que vencer o ponto de ouro ganha o jogo.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5. O serviço alterna entre os jogadores pela ordem declarada no início do encontro. A ordem de receção mantém-se durante o encontro.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16.º — Início do encontro, sorteio e lados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Antes do aquecimento, será efetuado sorteio por moeda, rotação da raquete ou método equivalente.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vencedor escolhe servir/receber, o lado inicial, ou transfere a escolha para o adversário. O outro par exerce a escolha remanescente.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Os jogadores comunicam a ordem de serviço e de receção antes do primeiro ponto.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Os pares mudam de lado após o 1.º jogo e, depois, após cada número ímpar de jogos. As mudanças são efetuadas sem pausa adicional e devem ocorrer dentro do ritmo contínuo do encontro.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17.º — Fim do tempo e determinação do vencedor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Quando soar o sinal de fim dos 20 minutos, o ponto que esteja efetivamente em disputa é concluído.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Não se inicia novo ponto após o sinal, salvo o ponto decisivo previsto no número seguinte.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 par com maior número de jogos concluídos vence o encontro.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Se o número de jogos estiver empatado, disputa-se imediatamente um único ponto decisivo. Serve o jogador a quem caberia servir no ponto seguinte, respeitando a ordem de serviço; o par recebedor escolhe o lado.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5. O resultado oficial inclui apenas os jogos concluídos, acrescido da indicação “PD” quando a vitória resulte do ponto decisivo final, por exemplo: 3–3 PD.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6F2FB"/>
            <w:tcBorders>
              <w:top w:val="single" w:sz="10" w:color="5D17A8"/>
              <w:left w:val="single" w:sz="10" w:color="5D17A8"/>
              <w:bottom w:val="single" w:sz="10" w:color="5D17A8"/>
              <w:right w:val="single" w:sz="10" w:color="5D17A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5D17A8"/>
                <w:sz w:val="19"/>
              </w:rPr>
              <w:t>EXEMPLO DE FIM DE TEMPO</w:t>
              <w:br/>
            </w:r>
            <w:r>
              <w:rPr>
                <w:rFonts w:ascii="Aptos" w:hAnsi="Aptos"/>
                <w:color w:val="17141F"/>
                <w:sz w:val="18"/>
              </w:rPr>
              <w:t>Se o sinal tocar com o resultado 3–2 e um jogo em curso a 30–30, termina-se apenas o ponto em disputa. Se esse ponto não completar o jogo, o resultado mantém-se 3–2. Se o resultado em jogos ficar 3–3, joga-se um único ponto decisivo para determinar o vencedor.</w:t>
            </w:r>
          </w:p>
        </w:tc>
      </w:tr>
    </w:tbl>
    <w:p>
      <w:pPr>
        <w:spacing w:after="20"/>
      </w:pP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18.º — Serviço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O servidor coloca-se atrás da linha de serviço, entre a extensão imaginária da linha central e a parede lateral, sem pisar as linhas;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deve ser deixada cair ou batida contra o solo e golpeada após um ressalto no próprio campo de serviço;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No momento do impacto, a bola deve estar à altura da cintura ou abaixo e o servidor deve manter pelo menos um pé em contacto com o solo;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O serviço é executado na diagonal: começa do lado direito e alterna de lado a cada ponto;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O servidor dispõe de dois serviços. Duas faltas consecutivas determinam perda do ponto;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As linhas da caixa de serviço são consideradas boas;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É falta se a bola, depois de ressaltar na caixa correta, tocar a rede metálica antes do segundo ressalto;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O recebedor deve deixar a bola ressaltar na caixa de serviço antes de a devolver.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19.º — Net, let e repetição do serviço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serviço é repetido quando a bola toca a rede ou os postes, entra na caixa de serviço correta e não toca a rede metálica antes do segundo ressalto.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Se o let ocorrer no primeiro serviço, o servidor volta a dispor de dois serviços. Se ocorrer no segundo, repete apenas o segundo serviço.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O serviço também é repetido quando o recebedor não esteja preparado, desde que não tenha tentado devolver a bola e a falta de preparação seja razoável.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20.º — Bola em jogo, paredes e rede metálica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Depois de um serviço válido, a bola permanece em jogo até ser declarado ponto, falta ou let.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Cada par pode golpear a bola apenas uma vez antes de a enviar para o campo adversário.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bola pode ser devolvida diretamente ou depois de tocar uma ou mais paredes do próprio campo, desde que atravesse a rede e ressalte primeiro no solo do campo adversário.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Depois de ressaltar corretamente no campo adversário, a bola pode tocar paredes ou rede metálica e continuar em jogo.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5. A bola deve ser devolvida antes do segundo ressalto no solo.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6. Uma bola que toque a rede durante uma jogada e depois ressalte no campo adversário mantém-se em jogo.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21.º — Devoluções corretas e incorretas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É considerada devolução correta, entre outras situações, quando: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ressalta diretamente no campo adversário;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toca primeiro numa parede do próprio campo e depois ressalta no campo adversário;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toca a rede ou poste e depois ressalta no campo adversário;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bola, após ressaltar no campo adversário, sai do campo ou regressa ao campo de origem, quando o jogo exterior estiver autorizado;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o contacto aparentemente duplo ocorre num único movimento contínuo e natural, sem alteração substancial da trajetória.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É incorreta a devolução que atinja diretamente a parede ou rede metálica adversária antes de ressaltar no solo adversário.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22.º — Perda do ponto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O par perde o ponto, designadamente, quando: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ressalta duas vezes no seu campo antes de ser devolvida;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um jogador, a sua raquete ou objeto transportado toca a rede, os postes, o cabo ou o campo adversário enquanto a bola está em jogo;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é golpeada antes de ultrapassar o plano vertical da rede, salvo quando regressa ao campo de origem após ressaltar no campo adversário;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um jogador golpeia a bola duas vezes ou ambos os parceiros a golpeiam;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 toca no jogador, no parceiro, na roupa ou em qualquer objeto que não seja a raquete;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bola, depois de golpeada, toca primeiro no solo, rede metálica ou outro elemento do próprio campo;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raquete é lançada para atingir a bola;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um jogador salta sobre a rede durante o ponto;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o servidor comete duas faltas consecutivas;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 raquete é largada ou o cordão de segurança se rompe durante o ponto.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23.º — Jogo exterior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jogo exterior apenas é permitido nos campos que disponham das zonas de segurança e condições adequadas e quando a organização o autorize expressamente antes do início da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Na ausência de autorização, os jogadores não podem sair do campo para devolver a bola.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autorização ou proibição aplica-se de forma uniforme a todos os encontros realizados no mesmo campo, salvo alteração por motivo de segurança.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24.º — Let, interferência e objetos em campo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ponto é repetido quando exista uma interrupção externa imprevisível, uma bola estranha entre no campo, a bola de jogo se rompa ou outra circunstância alheia aos jogadores interfira de forma relevante ou perigosa.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A interferência deliberada determina perda do ponto pelo infrator.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primeira interferência involuntária determina repetição do ponto. A repetição de interferência involuntária pelo mesmo par pode determinar perda do ponto.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O pedido de let deve ser efetuado imediatamente. Quem prosseguir voluntariamente a jogada perde o direito de invocar a ocorrência, salvo risco de segurança evidente.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25.º — Arbitragem dos encontros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Salvo indicação diferente, os encontros decorrem sem árbitro de cadeira, cabendo aos jogadores aplicar as regras com honestidade e fair play.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Cada par decide as bolas do seu lado com clareza e sem demora. Uma bola apenas deve ser marcada fora quando exista certeza razoável; em caso de dúvida, considera-se boa.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Divergências devem ser resolvidas em poucos segundos. Não havendo acordo, é chamado o responsável de prova, cuja decisão é final para efeitos do encontro.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O responsável de prova pode nomear árbitro de cadeira para qualquer encontro ou fase.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26.º — Registo e validação dos resultados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No final do encontro, ambos os pares confirmam o resultado junto da mesa ou no sistema indicado.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resultado deve ser comunicado durante os 3 minutos de transição.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Depois de validado e publicado, o resultado apenas pode ser corrigido por erro material comprovado e por decisão do responsável de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A organização manterá a classificação e os quadros tão atualizados quanto operacionalmente possível.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27.º — Pontualidade e falta de comparência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Os horários são indicativos de chamada e podem sofrer adiantamentos ou atrasos. Os pares devem permanecer disponíveis na zona da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par que não esteja em campo e pronto no início do aquecimento perde o tempo correspondente, sem prolongamento do bloco.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Decorridos 3 minutos após a chamada sem que o par esteja apto a iniciar, o responsável de prova pode aplicar um jogo de penalização.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Decorridos 6 minutos após a chamada, o responsável de prova pode declarar falta de comparência, salvo força maior reconhecida.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5. A falta de um único jogador equivale à falta do par.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28.º — Jogo contínuo e atrasos deliberados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 encontro é contínuo desde o primeiro serviço até ao sinal final.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 tempo máximo entre pontos é de 20 segundos, salvo ocorrência justificada ou instrução do responsável de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Não existem pausas para descanso nas mudanças de lado, para além do tempo estritamente necessário à troca.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Atrasos deliberados podem ser sancionados com advertência, perda do primeiro serviço, perda de ponto, perda de jogo ou desclassificação, de acordo com a gravidade e reincidência.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29.º — Lesões, assistência médica e abandono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Em caso de lesão tratável, pode ser concedida uma interrupção única de até 3 minutos. O cronómetro do encontro continua a decorrer, salvo decisão excecional do responsável de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Situações potencialmente graves determinam interrupção imediata por razões de segurança, podendo o encontro ser suspenso ou terminado.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Se um jogador não puder continuar, o par abandona o encontro. O adversário é declarado vencedor por abandono.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Para a classificação de grupos, o resultado administrativo será 3–0, ou o resultado efetivamente alcançado se este for mais favorável ao par declarado vencedor.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5. A participação é da responsabilidade dos jogadores, que devem avaliar a sua aptidão física e respeitar recomendações médicas.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30.º — Equipamento, raquetes e bolas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É obrigatória a utilização de raquete de padel regulamentar e do respetivo cordão de segurança colocado no pulso durante todos os pontos.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Não são permitidos dispositivos visíveis ou audíveis destinados a transmitir instruções durante o jogo.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organização define a marca, modelo, número e política de substituição das bolas. Apenas as bolas fornecidas ou autorizadas podem ser utilizadas.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Uma bola perdida ou danificada deve ser substituída por outra do mesmo tipo e com desgaste semelhante, sempre que possível.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5. É obrigatório calçado desportivo adequado ao piso. A organização pode impedir a utilização de equipamento que represente risco.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31.º — Vestuário e identificação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Os jogadores devem usar vestuário desportivo adequado e cumprir eventuais obrigações de camisola oficial comunicadas pela organização.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Patrocínios pessoais não podem tapar, alterar ou entrar em conflito com os elementos obrigatórios da camisola oficial sem autorização prévia.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organização pode solicitar identificação do jogador a qualquer momento.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32.º — Coaching, acompanhantes e espectadores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Não é permitido coaching durante os pontos.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Em prova social sem treinadores acreditados, não são permitidas instruções táticas externas durante o encontro, salvo autorização expressa e uniforme para todos os participantes.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Acompanhantes e espectadores devem permanecer fora das zonas técnicas e evitar ruído, movimentos ou intervenções que prejudiquem o jogo.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O responsável de prova pode afastar qualquer pessoa cujo comportamento interfira com a segurança, organização ou fair play.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33.º — Conduta e código disciplinar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Jogadores, acompanhantes e membros da organização devem agir com respeito, cortesia e espírito desportivo.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São proibidos insultos, gestos obscenos, ameaças, agressões, destruição ou abuso de bolas, raquetes, rede, vidros ou restantes instalações, manipulação de resultados e abandono deliberado do esforço competitivo.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As sanções aplicáveis, de forma progressiva ou imediata conforme a gravidade, incluem: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advertência;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perda do primeiro serviço;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perda de ponto;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perda de jogo;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derrota no encontro;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desclassificação do torneio;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expulsão do recinto e exclusão de futuras edições.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Agressão física, ameaça grave, comportamento discriminatório ou risco deliberado para terceiros pode determinar desclassificação imediata.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34.º — Protestos e reclamações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Questões de facto ocorridas durante o ponto devem ser suscitadas imediatamente.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Reclamações sobre resultado ou aplicação do regulamento devem ser apresentadas ao responsável de prova até 10 minutos após a publicação do resultado, antes do encontro seguinte do par, consoante o que ocorrer primeiro.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Não são admitidos protestos destinados apenas a atrasar 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A decisão do responsável de prova é final no âmbito deste torneio particular.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35.º — Condições meteorológicas, técnicas e força maior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 organização pode suspender, transferir, encurtar ou cancelar encontros por chuva, vento, calor, falha de iluminação, indisponibilidade de campos, acidente, emergência ou outra situação de força maior.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Um encontro retomado deve, sempre que possível, continuar com o resultado, ordem de serviço, lado e posição existentes no momento da suspensão.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Se a interrupção exceder 20 minutos, pode ser concedido novo aquecimento de até 3 minutos.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4. Quando não seja possível concluir a prova, a organização decide a classificação com base na fase atingida, resultados válidos e critérios de equidade desportiva.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36.º — Prémios e cerimónia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Os prémios, distinções e respetivas condições serão anunciados pela organização.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Os finalistas e vencedores devem participar na cerimónia de entrega, salvo motivo justificado.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atribuição de prémios pode depender do cumprimento das obrigações de conduta, identificação e participação efetiva.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37.º — Alterações ao regulamento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A organização pode corrigir erros materiais ou introduzir alterações necessárias à segurança e execução da prova.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Alterações relevantes serão comunicadas aos participantes antes de produzirem efeitos, através dos canais oficiais do torneio.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Nenhuma alteração pode ser aplicada de forma discriminatória a um par ou encontro específico.</w:t>
      </w:r>
    </w:p>
    <w:p>
      <w:pPr>
        <w:pStyle w:val="Heading1"/>
        <w:keepNext/>
      </w:pPr>
      <w:r>
        <w:rPr>
          <w:rFonts w:ascii="Aptos" w:hAnsi="Aptos"/>
          <w:b/>
          <w:color w:val="5D17A8"/>
          <w:sz w:val="26"/>
        </w:rPr>
        <w:t>Artigo 38.º — Casos omissos e aceitação final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1. Os casos omissos são decididos pelo responsável de prova com base nas Regras FIP, nas boas práticas de organização, no fair play e na preservação da igualdade competitiva.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2. A inscrição e participação no torneio constituem aceitação integral deste regulamento.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3. A versão publicada pela organização na data da prova é a versão válida.</w:t>
      </w: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color w:val="5D17A8"/>
          <w:sz w:val="36"/>
        </w:rPr>
        <w:t>ANEXO I — ESTRUTURA COMPETITIVA</w:t>
      </w:r>
    </w:p>
    <w:p>
      <w:pPr>
        <w:pStyle w:val="Heading2"/>
        <w:keepNext/>
      </w:pPr>
      <w:r>
        <w:rPr>
          <w:rFonts w:ascii="Aptos" w:hAnsi="Aptos"/>
          <w:b/>
          <w:color w:val="1B65D8"/>
          <w:sz w:val="21"/>
        </w:rPr>
        <w:t>1. Fase de grupos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Quatro grupos de seis pares. Cada grupo disputa cinco jornadas, com três encontros por jornada. A matriz abaixo pode ser aplicada às posições 1 a 6 de cada grupo: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56"/>
        <w:gridCol w:w="2556"/>
        <w:gridCol w:w="2556"/>
        <w:gridCol w:w="2556"/>
      </w:tblGrid>
      <w:tr>
        <w:trPr>
          <w:tblHeader w:val="true"/>
        </w:trPr>
        <w:tc>
          <w:tcPr>
            <w:tcW w:type="dxa" w:w="172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Jornada</w:t>
            </w:r>
          </w:p>
        </w:tc>
        <w:tc>
          <w:tcPr>
            <w:tcW w:type="dxa" w:w="2376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Campo A</w:t>
            </w:r>
          </w:p>
        </w:tc>
        <w:tc>
          <w:tcPr>
            <w:tcW w:type="dxa" w:w="2376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Campo B</w:t>
            </w:r>
          </w:p>
        </w:tc>
        <w:tc>
          <w:tcPr>
            <w:tcW w:type="dxa" w:w="2376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Campo C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Jornada 1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 × 6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 × 5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 × 4</w:t>
            </w:r>
          </w:p>
        </w:tc>
      </w:tr>
      <w:tr>
        <w:tc>
          <w:tcPr>
            <w:tcW w:type="dxa" w:w="172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Jornada 2</w:t>
            </w:r>
          </w:p>
        </w:tc>
        <w:tc>
          <w:tcPr>
            <w:tcW w:type="dxa" w:w="237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 × 5</w:t>
            </w:r>
          </w:p>
        </w:tc>
        <w:tc>
          <w:tcPr>
            <w:tcW w:type="dxa" w:w="237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6 × 4</w:t>
            </w:r>
          </w:p>
        </w:tc>
        <w:tc>
          <w:tcPr>
            <w:tcW w:type="dxa" w:w="237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 × 3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Jornada 3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 × 4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5 × 3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6 × 2</w:t>
            </w:r>
          </w:p>
        </w:tc>
      </w:tr>
      <w:tr>
        <w:tc>
          <w:tcPr>
            <w:tcW w:type="dxa" w:w="172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Jornada 4</w:t>
            </w:r>
          </w:p>
        </w:tc>
        <w:tc>
          <w:tcPr>
            <w:tcW w:type="dxa" w:w="237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 × 3</w:t>
            </w:r>
          </w:p>
        </w:tc>
        <w:tc>
          <w:tcPr>
            <w:tcW w:type="dxa" w:w="237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4 × 2</w:t>
            </w:r>
          </w:p>
        </w:tc>
        <w:tc>
          <w:tcPr>
            <w:tcW w:type="dxa" w:w="237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5 × 6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Jornada 5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 × 2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 × 6</w:t>
            </w:r>
          </w:p>
        </w:tc>
        <w:tc>
          <w:tcPr>
            <w:tcW w:type="dxa" w:w="237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4 × 5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rPr>
          <w:rFonts w:ascii="Aptos" w:hAnsi="Aptos"/>
          <w:b/>
          <w:color w:val="1B65D8"/>
          <w:sz w:val="21"/>
        </w:rPr>
        <w:t>2. Quadros A a D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72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Quadro</w:t>
            </w:r>
          </w:p>
        </w:tc>
        <w:tc>
          <w:tcPr>
            <w:tcW w:type="dxa" w:w="3672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Meia-final 1</w:t>
            </w:r>
          </w:p>
        </w:tc>
        <w:tc>
          <w:tcPr>
            <w:tcW w:type="dxa" w:w="3672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Meia-final 2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A</w:t>
            </w:r>
          </w:p>
        </w:tc>
        <w:tc>
          <w:tcPr>
            <w:tcW w:type="dxa" w:w="36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1.º G1 × 1.º G2</w:t>
            </w:r>
          </w:p>
        </w:tc>
        <w:tc>
          <w:tcPr>
            <w:tcW w:type="dxa" w:w="36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1.º G3 × 1.º G4</w:t>
            </w:r>
          </w:p>
        </w:tc>
      </w:tr>
      <w:tr>
        <w:tc>
          <w:tcPr>
            <w:tcW w:type="dxa" w:w="172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B</w:t>
            </w:r>
          </w:p>
        </w:tc>
        <w:tc>
          <w:tcPr>
            <w:tcW w:type="dxa" w:w="36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2.º G1 × 2.º G2</w:t>
            </w:r>
          </w:p>
        </w:tc>
        <w:tc>
          <w:tcPr>
            <w:tcW w:type="dxa" w:w="36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2.º G3 × 2.º G4</w:t>
            </w:r>
          </w:p>
        </w:tc>
      </w:tr>
      <w:tr>
        <w:tc>
          <w:tcPr>
            <w:tcW w:type="dxa" w:w="172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C</w:t>
            </w:r>
          </w:p>
        </w:tc>
        <w:tc>
          <w:tcPr>
            <w:tcW w:type="dxa" w:w="36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3.º G1 × 3.º G2</w:t>
            </w:r>
          </w:p>
        </w:tc>
        <w:tc>
          <w:tcPr>
            <w:tcW w:type="dxa" w:w="36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3.º G3 × 3.º G4</w:t>
            </w:r>
          </w:p>
        </w:tc>
      </w:tr>
      <w:tr>
        <w:tc>
          <w:tcPr>
            <w:tcW w:type="dxa" w:w="172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Quadro D</w:t>
            </w:r>
          </w:p>
        </w:tc>
        <w:tc>
          <w:tcPr>
            <w:tcW w:type="dxa" w:w="36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4.º G1 × 4.º G2</w:t>
            </w:r>
          </w:p>
        </w:tc>
        <w:tc>
          <w:tcPr>
            <w:tcW w:type="dxa" w:w="36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4.º G3 × 4.º G4</w:t>
            </w:r>
          </w:p>
        </w:tc>
      </w:tr>
    </w:tbl>
    <w:p>
      <w:pPr>
        <w:spacing w:after="20"/>
      </w:pP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Os vencedores das meias-finais disputam a final do respetivo quadro.</w:t>
      </w:r>
    </w:p>
    <w:p>
      <w:pPr>
        <w:pStyle w:val="Heading2"/>
        <w:keepNext/>
      </w:pPr>
      <w:r>
        <w:rPr>
          <w:rFonts w:ascii="Aptos" w:hAnsi="Aptos"/>
          <w:b/>
          <w:color w:val="1B65D8"/>
          <w:sz w:val="21"/>
        </w:rPr>
        <w:t>3. Fase Masters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3600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Fase</w:t>
            </w:r>
          </w:p>
        </w:tc>
        <w:tc>
          <w:tcPr>
            <w:tcW w:type="dxa" w:w="5472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Encontro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Meia-final Masters 1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Vencedor A × Vencedor B</w:t>
            </w:r>
          </w:p>
        </w:tc>
      </w:tr>
      <w:tr>
        <w:tc>
          <w:tcPr>
            <w:tcW w:type="dxa" w:w="3600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Meia-final Masters 2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Vencedor C × Vencedor D</w:t>
            </w:r>
          </w:p>
        </w:tc>
      </w:tr>
      <w:tr>
        <w:tc>
          <w:tcPr>
            <w:tcW w:type="dxa" w:w="36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Final Masters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Vencedor MF1 × Vencedor MF2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color w:val="5D17A8"/>
          <w:sz w:val="36"/>
        </w:rPr>
        <w:t>ANEXO II — GRELHA TEMPORAL DE REFERÊNCIA</w:t>
      </w:r>
    </w:p>
    <w:p>
      <w:pPr>
        <w:spacing w:after="100" w:line="259" w:lineRule="auto"/>
        <w:ind w:left="0"/>
      </w:pPr>
      <w:r>
        <w:rPr>
          <w:rFonts w:ascii="Aptos" w:hAnsi="Aptos"/>
          <w:i w:val="0"/>
          <w:color w:val="17141F"/>
          <w:sz w:val="18"/>
        </w:rPr>
        <w:t>A grelha seguinte representa o mínimo operacional de 15 blocos de 26 minutos, totalizando 6 horas e 30 minutos. O horário definitivo pode incluir pausas de recuperação, cerimónias, atrasos ou ajustes de campo.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08"/>
        <w:gridCol w:w="3408"/>
        <w:gridCol w:w="3408"/>
      </w:tblGrid>
      <w:tr>
        <w:trPr>
          <w:tblHeader w:val="true"/>
        </w:trPr>
        <w:tc>
          <w:tcPr>
            <w:tcW w:type="dxa" w:w="1152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Bloco</w:t>
            </w:r>
          </w:p>
        </w:tc>
        <w:tc>
          <w:tcPr>
            <w:tcW w:type="dxa" w:w="2736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Horário de referência</w:t>
            </w:r>
          </w:p>
        </w:tc>
        <w:tc>
          <w:tcPr>
            <w:tcW w:type="dxa" w:w="5472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6"/>
              </w:rPr>
              <w:t>Fase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09:00–09:26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2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09:26–09:52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3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09:52–10:18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4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10:18–10:44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5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10:44–11:10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6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11:10–11:36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7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11:36–12:02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8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12:02–12:28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9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12:28–12:54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10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12:54–13:20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Fase de grupos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11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13:20–13:46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Meias-finais dos Quadros A–D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12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13:46–14:12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Meias-finais dos Quadros A–D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13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14:12–14:38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Finais dos Quadros A–D</w:t>
            </w:r>
          </w:p>
        </w:tc>
      </w:tr>
      <w:tr>
        <w:tc>
          <w:tcPr>
            <w:tcW w:type="dxa" w:w="115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14</w:t>
            </w:r>
          </w:p>
        </w:tc>
        <w:tc>
          <w:tcPr>
            <w:tcW w:type="dxa" w:w="2736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14:38–15:04</w:t>
            </w:r>
          </w:p>
        </w:tc>
        <w:tc>
          <w:tcPr>
            <w:tcW w:type="dxa" w:w="5472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Meias-finais Masters</w:t>
            </w:r>
          </w:p>
        </w:tc>
      </w:tr>
      <w:tr>
        <w:tc>
          <w:tcPr>
            <w:tcW w:type="dxa" w:w="115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15</w:t>
            </w:r>
          </w:p>
        </w:tc>
        <w:tc>
          <w:tcPr>
            <w:tcW w:type="dxa" w:w="2736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15:04–15:30</w:t>
            </w:r>
          </w:p>
        </w:tc>
        <w:tc>
          <w:tcPr>
            <w:tcW w:type="dxa" w:w="5472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6"/>
              </w:rPr>
              <w:t>Final Masters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224"/>
            <w:shd w:fill="FFF9E6"/>
            <w:tcBorders>
              <w:top w:val="single" w:sz="10" w:color="5D17A8"/>
              <w:left w:val="single" w:sz="10" w:color="5D17A8"/>
              <w:bottom w:val="single" w:sz="10" w:color="5D17A8"/>
              <w:right w:val="single" w:sz="10" w:color="5D17A8"/>
            </w:tcBorders>
          </w:tcPr>
          <w:p>
            <w:pPr>
              <w:spacing w:after="40"/>
            </w:pPr>
            <w:r>
              <w:rPr>
                <w:rFonts w:ascii="Aptos" w:hAnsi="Aptos"/>
                <w:b/>
                <w:color w:val="5D17A8"/>
                <w:sz w:val="19"/>
              </w:rPr>
              <w:t>IMPORTANTE</w:t>
              <w:br/>
            </w:r>
            <w:r>
              <w:rPr>
                <w:rFonts w:ascii="Aptos" w:hAnsi="Aptos"/>
                <w:color w:val="17141F"/>
                <w:sz w:val="18"/>
              </w:rPr>
              <w:t>O programa de 6h30 pressupõe utilização imediata dos campos e pode originar encontros consecutivos nas fases finais. A organização pode inserir blocos adicionais de recuperação. Nessa situação, o horário oficial publicado substitui esta grelha de referência.</w:t>
            </w:r>
          </w:p>
        </w:tc>
      </w:tr>
    </w:tbl>
    <w:p>
      <w:pPr>
        <w:spacing w:after="20"/>
      </w:pPr>
    </w:p>
    <w:p>
      <w:r>
        <w:br w:type="page"/>
      </w:r>
    </w:p>
    <w:p>
      <w:pPr>
        <w:jc w:val="center"/>
      </w:pPr>
      <w:r>
        <w:rPr>
          <w:rFonts w:ascii="Aptos Display" w:hAnsi="Aptos Display"/>
          <w:b/>
          <w:color w:val="5D17A8"/>
          <w:sz w:val="36"/>
        </w:rPr>
        <w:t>ANEXO III — GUIA RÁPIDO PARA OS JOGADORES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112"/>
        <w:gridCol w:w="5112"/>
      </w:tblGrid>
      <w:tr>
        <w:trPr>
          <w:tblHeader w:val="true"/>
        </w:trPr>
        <w:tc>
          <w:tcPr>
            <w:tcW w:type="dxa" w:w="2088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Tema</w:t>
            </w:r>
          </w:p>
        </w:tc>
        <w:tc>
          <w:tcPr>
            <w:tcW w:type="dxa" w:w="7200"/>
            <w:shd w:fill="5D17A8"/>
            <w:vAlign w:val="center"/>
          </w:tcPr>
          <w:p>
            <w:pPr>
              <w:jc w:val="center"/>
            </w:pPr>
            <w:r>
              <w:rPr>
                <w:rFonts w:ascii="Aptos" w:hAnsi="Aptos"/>
                <w:b/>
                <w:color w:val="FFFFFF"/>
                <w:sz w:val="17"/>
              </w:rPr>
              <w:t>Regra essencial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Duração</w:t>
            </w:r>
          </w:p>
        </w:tc>
        <w:tc>
          <w:tcPr>
            <w:tcW w:type="dxa" w:w="72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3 min de aquecimento + 20 min de encontro + 3 min de transição.</w:t>
            </w:r>
          </w:p>
        </w:tc>
      </w:tr>
      <w:tr>
        <w:tc>
          <w:tcPr>
            <w:tcW w:type="dxa" w:w="208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Pontuação</w:t>
            </w:r>
          </w:p>
        </w:tc>
        <w:tc>
          <w:tcPr>
            <w:tcW w:type="dxa" w:w="7200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15–30–40–jogo; aos 40–40 há ponto de ouro.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Fim do tempo</w:t>
            </w:r>
          </w:p>
        </w:tc>
        <w:tc>
          <w:tcPr>
            <w:tcW w:type="dxa" w:w="72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Termina-se o ponto em curso. Mais jogos vence. Em empate de jogos, disputa-se um ponto decisivo.</w:t>
            </w:r>
          </w:p>
        </w:tc>
      </w:tr>
      <w:tr>
        <w:tc>
          <w:tcPr>
            <w:tcW w:type="dxa" w:w="208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Serviço</w:t>
            </w:r>
          </w:p>
        </w:tc>
        <w:tc>
          <w:tcPr>
            <w:tcW w:type="dxa" w:w="7200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Por baixo, após ressalto, à altura da cintura ou abaixo, na diagonal, com dois serviços.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Paredes</w:t>
            </w:r>
          </w:p>
        </w:tc>
        <w:tc>
          <w:tcPr>
            <w:tcW w:type="dxa" w:w="72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Pode usar as paredes do próprio campo antes de enviar a bola; no campo adversário a bola tem de ressaltar primeiro no solo.</w:t>
            </w:r>
          </w:p>
        </w:tc>
      </w:tr>
      <w:tr>
        <w:tc>
          <w:tcPr>
            <w:tcW w:type="dxa" w:w="208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Segurança</w:t>
            </w:r>
          </w:p>
        </w:tc>
        <w:tc>
          <w:tcPr>
            <w:tcW w:type="dxa" w:w="7200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Cordão da raquete no pulso é obrigatório.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Pontualidade</w:t>
            </w:r>
          </w:p>
        </w:tc>
        <w:tc>
          <w:tcPr>
            <w:tcW w:type="dxa" w:w="72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Estar pronto na chamada. Aos 3 min pode haver penalização; aos 6 min pode ser declarada FC.</w:t>
            </w:r>
          </w:p>
        </w:tc>
      </w:tr>
      <w:tr>
        <w:tc>
          <w:tcPr>
            <w:tcW w:type="dxa" w:w="208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Resultado</w:t>
            </w:r>
          </w:p>
        </w:tc>
        <w:tc>
          <w:tcPr>
            <w:tcW w:type="dxa" w:w="7200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Confirmar na mesa durante a transição de 3 min.</w:t>
            </w:r>
          </w:p>
        </w:tc>
      </w:tr>
      <w:tr>
        <w:tc>
          <w:tcPr>
            <w:tcW w:type="dxa" w:w="2088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Conduta</w:t>
            </w:r>
          </w:p>
        </w:tc>
        <w:tc>
          <w:tcPr>
            <w:tcW w:type="dxa" w:w="7200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Respeito, fair play e decisão rápida. Em dúvida sobre bola fora, considera-se boa.</w:t>
            </w:r>
          </w:p>
        </w:tc>
      </w:tr>
      <w:tr>
        <w:tc>
          <w:tcPr>
            <w:tcW w:type="dxa" w:w="2088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Autoridade</w:t>
            </w:r>
          </w:p>
        </w:tc>
        <w:tc>
          <w:tcPr>
            <w:tcW w:type="dxa" w:w="7200"/>
            <w:shd w:fill="F1F1F4"/>
            <w:vAlign w:val="center"/>
          </w:tcPr>
          <w:p>
            <w:pPr>
              <w:spacing w:after="0" w:before="0"/>
            </w:pPr>
            <w:r>
              <w:rPr>
                <w:rFonts w:ascii="Aptos" w:hAnsi="Aptos"/>
                <w:color w:val="17141F"/>
                <w:sz w:val="17"/>
              </w:rPr>
              <w:t>A decisão do responsável de prova é final no âmbito do torneio.</w:t>
            </w:r>
          </w:p>
        </w:tc>
      </w:tr>
    </w:tbl>
    <w:p>
      <w:pPr>
        <w:spacing w:after="20"/>
      </w:pPr>
    </w:p>
    <w:p>
      <w:pPr>
        <w:pStyle w:val="Heading2"/>
        <w:keepNext/>
      </w:pPr>
      <w:r>
        <w:rPr>
          <w:rFonts w:ascii="Aptos" w:hAnsi="Aptos"/>
          <w:b/>
          <w:color w:val="1B65D8"/>
          <w:sz w:val="21"/>
        </w:rPr>
        <w:t>Referências normativas consultadas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Federação Internacional de Padel (FIP), Rules of Padel, revisão com aplicação a partir de 01-01-2026.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Federação Portuguesa de Padel (FPP), Regulamento Geral 2025 e respetivos anexos.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Federação Portuguesa de Padel (FPP), Regulamento de Candidatura e Organização de Provas 2025.</w:t>
      </w:r>
    </w:p>
    <w:p>
      <w:pPr>
        <w:pStyle w:val="ListBullet"/>
        <w:spacing w:after="60" w:line="252" w:lineRule="auto"/>
      </w:pPr>
      <w:r>
        <w:rPr>
          <w:rFonts w:ascii="Aptos" w:hAnsi="Aptos"/>
          <w:color w:val="17141F"/>
          <w:sz w:val="18"/>
        </w:rPr>
        <w:t>Federação Portuguesa de Padel (FPP), Regulamento da Liga de Clubes 2025, utilizado como referência para critérios públicos de classificação e desempate.</w:t>
      </w:r>
    </w:p>
    <w:p>
      <w:pPr>
        <w:pStyle w:val="Heading2"/>
        <w:keepNext/>
      </w:pPr>
      <w:r>
        <w:rPr>
          <w:rFonts w:ascii="Aptos" w:hAnsi="Aptos"/>
          <w:b/>
          <w:color w:val="1B65D8"/>
          <w:sz w:val="21"/>
        </w:rPr>
        <w:t>Validação da organização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112"/>
        <w:gridCol w:w="5112"/>
      </w:tblGrid>
      <w:tr>
        <w:tc>
          <w:tcPr>
            <w:tcW w:type="dxa" w:w="5112"/>
            <w:shd w:fill="F1F1F4"/>
          </w:tcPr>
          <w:p>
            <w:r>
              <w:rPr>
                <w:rFonts w:ascii="Aptos" w:hAnsi="Aptos"/>
                <w:b/>
                <w:color w:val="17141F"/>
                <w:sz w:val="18"/>
              </w:rPr>
              <w:t>Diretor do Torneio</w:t>
            </w:r>
          </w:p>
        </w:tc>
        <w:tc>
          <w:tcPr>
            <w:tcW w:type="dxa" w:w="5112"/>
          </w:tcPr>
          <w:p>
            <w:r>
              <w:rPr>
                <w:rFonts w:ascii="Aptos" w:hAnsi="Aptos"/>
                <w:color w:val="17141F"/>
                <w:sz w:val="18"/>
              </w:rPr>
              <w:t>[Nome e assinatura]</w:t>
            </w:r>
          </w:p>
        </w:tc>
      </w:tr>
      <w:tr>
        <w:tc>
          <w:tcPr>
            <w:tcW w:type="dxa" w:w="5112"/>
            <w:shd w:fill="F1F1F4"/>
          </w:tcPr>
          <w:p>
            <w:r>
              <w:rPr>
                <w:rFonts w:ascii="Aptos" w:hAnsi="Aptos"/>
                <w:b/>
                <w:color w:val="17141F"/>
                <w:sz w:val="18"/>
              </w:rPr>
              <w:t>Responsável de Arbitragem</w:t>
            </w:r>
          </w:p>
        </w:tc>
        <w:tc>
          <w:tcPr>
            <w:tcW w:type="dxa" w:w="5112"/>
          </w:tcPr>
          <w:p>
            <w:r>
              <w:rPr>
                <w:rFonts w:ascii="Aptos" w:hAnsi="Aptos"/>
                <w:color w:val="17141F"/>
                <w:sz w:val="18"/>
              </w:rPr>
              <w:t>[Nome e assinatura]</w:t>
            </w:r>
          </w:p>
        </w:tc>
      </w:tr>
      <w:tr>
        <w:tc>
          <w:tcPr>
            <w:tcW w:type="dxa" w:w="5112"/>
            <w:shd w:fill="F1F1F4"/>
          </w:tcPr>
          <w:p>
            <w:r>
              <w:rPr>
                <w:rFonts w:ascii="Aptos" w:hAnsi="Aptos"/>
                <w:b/>
                <w:color w:val="17141F"/>
                <w:sz w:val="18"/>
              </w:rPr>
              <w:t>Data de aprovação</w:t>
            </w:r>
          </w:p>
        </w:tc>
        <w:tc>
          <w:tcPr>
            <w:tcW w:type="dxa" w:w="5112"/>
          </w:tcPr>
          <w:p>
            <w:r>
              <w:rPr>
                <w:rFonts w:ascii="Aptos" w:hAnsi="Aptos"/>
                <w:color w:val="17141F"/>
                <w:sz w:val="18"/>
              </w:rPr>
              <w:t>[Data]</w:t>
            </w:r>
          </w:p>
        </w:tc>
      </w:tr>
      <w:tr>
        <w:tc>
          <w:tcPr>
            <w:tcW w:type="dxa" w:w="5112"/>
            <w:shd w:fill="F1F1F4"/>
          </w:tcPr>
          <w:p>
            <w:r>
              <w:rPr>
                <w:rFonts w:ascii="Aptos" w:hAnsi="Aptos"/>
                <w:b/>
                <w:color w:val="17141F"/>
                <w:sz w:val="18"/>
              </w:rPr>
              <w:t>Versão publicada</w:t>
            </w:r>
          </w:p>
        </w:tc>
        <w:tc>
          <w:tcPr>
            <w:tcW w:type="dxa" w:w="5112"/>
          </w:tcPr>
          <w:p>
            <w:r>
              <w:rPr>
                <w:rFonts w:ascii="Aptos" w:hAnsi="Aptos"/>
                <w:color w:val="17141F"/>
                <w:sz w:val="18"/>
              </w:rPr>
              <w:t>1.0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6"/>
      </w:rPr>
      <w:t xml:space="preserve">Página </w:t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  <w:pBdr>
        <w:bottom w:val="single" w:sz="6" w:space="2" w:color="5D17A8"/>
      </w:pBdr>
    </w:pPr>
    <w:r>
      <w:rPr>
        <w:rFonts w:ascii="Aptos" w:hAnsi="Aptos"/>
        <w:b/>
        <w:color w:val="666666"/>
        <w:sz w:val="15"/>
      </w:rPr>
      <w:t>MASTERS 2026 BY OLIVIER  |  REGULAMENTO PARTICULAR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 Display" w:hAnsi="Aptos Display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Regulamento Particular — Masters 2026 by Olivier</dc:title>
  <dc:subject>Regulamento de torneio social de padel</dc:subject>
  <dc:creator>Masters 2026 by Olivier</dc:creator>
  <cp:keywords>padel, regulamento, torneio, Masters 2026, Olivier</cp:keywords>
  <dc:description>Minuta baseada nas regras FIP aplicáveis desde 01-01-2026 e em referências organizativas da FPP.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